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24E9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24E9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24E9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224E9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Отраслевые рынки в экономике устойчивого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213A24" w:rsidR="00A77598" w:rsidRPr="00D81F0B" w:rsidRDefault="00D81F0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24E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E99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B5FF65" w:rsidR="004475DA" w:rsidRPr="00D81F0B" w:rsidRDefault="00D81F0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E0129C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EB7FEDC" w:rsidR="00D75436" w:rsidRDefault="00553C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1122768" w:rsidR="00D75436" w:rsidRDefault="00553C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5477AEC" w:rsidR="00D75436" w:rsidRDefault="00553C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F03B7C4" w:rsidR="00D75436" w:rsidRDefault="00553C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EC160E5" w:rsidR="00D75436" w:rsidRDefault="00553C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B262AFC" w:rsidR="00D75436" w:rsidRDefault="00553C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2672BAD" w:rsidR="00D75436" w:rsidRDefault="00553C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A4A9678" w:rsidR="00D75436" w:rsidRDefault="00553C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EC95118" w:rsidR="00D75436" w:rsidRDefault="00553C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09C9733" w:rsidR="00D75436" w:rsidRDefault="00553C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BCD21B6" w:rsidR="00D75436" w:rsidRDefault="00553C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C8B712B" w:rsidR="00D75436" w:rsidRDefault="00553C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9A0D514" w:rsidR="00D75436" w:rsidRDefault="00553C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2BD19D9" w:rsidR="00D75436" w:rsidRDefault="00553C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C0DA7B4" w:rsidR="00D75436" w:rsidRDefault="00553C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CF55ACF" w:rsidR="00D75436" w:rsidRDefault="00553C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0A290FE" w:rsidR="00D75436" w:rsidRDefault="00553C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E9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24E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функционирования отраслевых рынков, их регулирования и поведения фирм с учетом экологических и социальных аспектов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Отраслевые рынки в экономике устойчивого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224E9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24E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24E9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24E9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4E9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24E9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24E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24E9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4E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4E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4E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4E99">
              <w:rPr>
                <w:rFonts w:ascii="Times New Roman" w:hAnsi="Times New Roman" w:cs="Times New Roman"/>
              </w:rPr>
              <w:t xml:space="preserve">Критерии корпоративного управления, соответствующего принципам </w:t>
            </w:r>
            <w:r w:rsidR="00316402" w:rsidRPr="00224E99">
              <w:rPr>
                <w:rFonts w:ascii="Times New Roman" w:hAnsi="Times New Roman" w:cs="Times New Roman"/>
                <w:lang w:val="en-US"/>
              </w:rPr>
              <w:t>ESG</w:t>
            </w:r>
            <w:r w:rsidRPr="00224E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24E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4E99">
              <w:rPr>
                <w:rFonts w:ascii="Times New Roman" w:hAnsi="Times New Roman" w:cs="Times New Roman"/>
              </w:rPr>
              <w:t xml:space="preserve">Применять критерии корпоративного управления, соответствующего принципам </w:t>
            </w:r>
            <w:r w:rsidR="00FD518F" w:rsidRPr="00224E99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224E99">
              <w:rPr>
                <w:rFonts w:ascii="Times New Roman" w:hAnsi="Times New Roman" w:cs="Times New Roman"/>
              </w:rPr>
              <w:t>, при анализе поведения фирмы на отраслевом рынке и разработке конкурентной стратегии</w:t>
            </w:r>
            <w:r w:rsidRPr="00224E9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24E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4E99">
              <w:rPr>
                <w:rFonts w:ascii="Times New Roman" w:hAnsi="Times New Roman" w:cs="Times New Roman"/>
              </w:rPr>
              <w:t xml:space="preserve">Теоретическими концепциями и моделями, позволяющими анализировать поведение фирмы на отраслевом рынке и разрабатывать конкурентные стратегии с учетом критериев корпоративного управления, соответствующего принципам </w:t>
            </w:r>
            <w:r w:rsidR="00FD518F" w:rsidRPr="00224E99">
              <w:rPr>
                <w:rFonts w:ascii="Times New Roman" w:hAnsi="Times New Roman" w:cs="Times New Roman"/>
                <w:lang w:val="en-US"/>
              </w:rPr>
              <w:t>ESG</w:t>
            </w:r>
            <w:r w:rsidRPr="00224E9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24E99" w14:paraId="423F759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9B086" w14:textId="77777777" w:rsidR="00751095" w:rsidRPr="00224E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>ПК-1 - Способен выявлять социо-эколого-экономические проблемы устойчивого развития на глобальном, национальном, региональном и отраслевом уровнях, используя теории регионального роста и развития как в ретроспективном, так и современном контексте, на основе комплексного подхода, который включает в себя изучение различных факторов, влияющих на устойчивое развитие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5F8F9" w14:textId="77777777" w:rsidR="00751095" w:rsidRPr="00224E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ПК-1.2 - Способен собрать/ найти необходимые данные и выполнить анализ экономических и социально-экономических показателей для обоснования направлений и параметров с учетом действующей нормативной правовой базы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D1855" w14:textId="77777777" w:rsidR="00751095" w:rsidRPr="00224E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4E99">
              <w:rPr>
                <w:rFonts w:ascii="Times New Roman" w:hAnsi="Times New Roman" w:cs="Times New Roman"/>
              </w:rPr>
              <w:t>Теоретические модели, объясняющие связь функционирования отраслевых рынков с социо-эколого-экономическими критериями устойчивого развития; источники данных и методы эмпирического анализа функционирования отраслевых рынков в контексте проблем утойчивого развития</w:t>
            </w:r>
            <w:r w:rsidRPr="00224E99">
              <w:rPr>
                <w:rFonts w:ascii="Times New Roman" w:hAnsi="Times New Roman" w:cs="Times New Roman"/>
              </w:rPr>
              <w:t xml:space="preserve"> </w:t>
            </w:r>
          </w:p>
          <w:p w14:paraId="793B77B3" w14:textId="77777777" w:rsidR="00751095" w:rsidRPr="00224E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4E99">
              <w:rPr>
                <w:rFonts w:ascii="Times New Roman" w:hAnsi="Times New Roman" w:cs="Times New Roman"/>
              </w:rPr>
              <w:t>Применять теоритеческие модели функционирования отраслевых рынков для обоснования направлений и параметров развития фирмы и отрасли в контексте социо-эколого-экономических проблем устойчивого развития</w:t>
            </w:r>
            <w:r w:rsidRPr="00224E99">
              <w:rPr>
                <w:rFonts w:ascii="Times New Roman" w:hAnsi="Times New Roman" w:cs="Times New Roman"/>
              </w:rPr>
              <w:t xml:space="preserve">. </w:t>
            </w:r>
          </w:p>
          <w:p w14:paraId="796C13C5" w14:textId="77777777" w:rsidR="00751095" w:rsidRPr="00224E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4E99">
              <w:rPr>
                <w:rFonts w:ascii="Times New Roman" w:hAnsi="Times New Roman" w:cs="Times New Roman"/>
              </w:rPr>
              <w:t>Основными подходами к моделированию связи функционирования отраслевых рынков с социо-эколого-экономическими критериями устойчивого развития</w:t>
            </w:r>
            <w:r w:rsidRPr="00224E9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24E99" w14:paraId="306D9AC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FC40E" w14:textId="77777777" w:rsidR="00751095" w:rsidRPr="00224E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>ПК-6 - Способен разрабатывать и реализовывать мероприятия, направленные на укрепление устойчивого развития, обосновывая организационные решения в условиях трансформации методов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11386" w14:textId="77777777" w:rsidR="00751095" w:rsidRPr="00224E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ПК-6.1 - Способен анализировать и адаптировать инновационные управленческие практики, которые способствуют устойчивому развитию, с акцентом на эффективность использования ресурсов и минимизацию негативного воздействия на окружающую среду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6A545" w14:textId="77777777" w:rsidR="00751095" w:rsidRPr="00224E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4E99">
              <w:rPr>
                <w:rFonts w:ascii="Times New Roman" w:hAnsi="Times New Roman" w:cs="Times New Roman"/>
              </w:rPr>
              <w:t>Теоретические модели инноваций на отраслевых рынках, их направленность и связь с управленческими практиками</w:t>
            </w:r>
            <w:r w:rsidRPr="00224E99">
              <w:rPr>
                <w:rFonts w:ascii="Times New Roman" w:hAnsi="Times New Roman" w:cs="Times New Roman"/>
              </w:rPr>
              <w:t xml:space="preserve"> </w:t>
            </w:r>
          </w:p>
          <w:p w14:paraId="3F6EF447" w14:textId="77777777" w:rsidR="00751095" w:rsidRPr="00224E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4E99">
              <w:rPr>
                <w:rFonts w:ascii="Times New Roman" w:hAnsi="Times New Roman" w:cs="Times New Roman"/>
              </w:rPr>
              <w:t>Анализировать и формировать предложения по внедрению инноваций и совершенствованию управленческих методов с учетом специфики отраслевого рынка и критериев устойчивого развития</w:t>
            </w:r>
            <w:r w:rsidRPr="00224E99">
              <w:rPr>
                <w:rFonts w:ascii="Times New Roman" w:hAnsi="Times New Roman" w:cs="Times New Roman"/>
              </w:rPr>
              <w:t xml:space="preserve">. </w:t>
            </w:r>
          </w:p>
          <w:p w14:paraId="1E9E0D36" w14:textId="77777777" w:rsidR="00751095" w:rsidRPr="00224E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4E99">
              <w:rPr>
                <w:rFonts w:ascii="Times New Roman" w:hAnsi="Times New Roman" w:cs="Times New Roman"/>
              </w:rPr>
              <w:t>Методами анализа инновационных практик в контексте конкуренции на отраслевом рынке и реализации принципов устойчивого развития</w:t>
            </w:r>
            <w:r w:rsidRPr="00224E9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24E99" w14:paraId="4FDFDD6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85734" w14:textId="77777777" w:rsidR="00751095" w:rsidRPr="00224E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>ПК-9 - Владеет навыками анализа экономических процессов, оценки динамики социально-экономических показателей и индикаторов развития экономики, а также подготовки, разработки и реализации предложений в области государственной экономической политики и стратегических решений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65097" w14:textId="77777777" w:rsidR="00751095" w:rsidRPr="00224E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ПК-9.2 - Способен оценивать динамику социально-экономических показателей и индикаторов, чтобы прогнозировать экономическое развитие и выявлять потенциальные риски, сравнивая и интерпретируя данные с надежностью и точностью для обоснования выводов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E7D82" w14:textId="77777777" w:rsidR="00751095" w:rsidRPr="00224E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4E99">
              <w:rPr>
                <w:rFonts w:ascii="Times New Roman" w:hAnsi="Times New Roman" w:cs="Times New Roman"/>
              </w:rPr>
              <w:t>Теоретические модели объясняющие связь функционирования отраслевых рынков с динамикой социально-экономических показателей и индикаторов развития экономики</w:t>
            </w:r>
            <w:r w:rsidRPr="00224E99">
              <w:rPr>
                <w:rFonts w:ascii="Times New Roman" w:hAnsi="Times New Roman" w:cs="Times New Roman"/>
              </w:rPr>
              <w:t xml:space="preserve"> </w:t>
            </w:r>
          </w:p>
          <w:p w14:paraId="6141B718" w14:textId="77777777" w:rsidR="00751095" w:rsidRPr="00224E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4E99">
              <w:rPr>
                <w:rFonts w:ascii="Times New Roman" w:hAnsi="Times New Roman" w:cs="Times New Roman"/>
              </w:rPr>
              <w:t>Применять теоретические модели для учета динамики социально-экономических показателей и индикаторов развития экономики при разработке конкурентной стратегии на отраслевом рынке</w:t>
            </w:r>
            <w:r w:rsidRPr="00224E99">
              <w:rPr>
                <w:rFonts w:ascii="Times New Roman" w:hAnsi="Times New Roman" w:cs="Times New Roman"/>
              </w:rPr>
              <w:t xml:space="preserve">. </w:t>
            </w:r>
          </w:p>
          <w:p w14:paraId="311A0FE0" w14:textId="77777777" w:rsidR="00751095" w:rsidRPr="00224E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4E99">
              <w:rPr>
                <w:rFonts w:ascii="Times New Roman" w:hAnsi="Times New Roman" w:cs="Times New Roman"/>
              </w:rPr>
              <w:t>Методами анализа функционирования отраслевых рынков в связи с динамикой социально-экономических показателей и индикаторов развития экономики</w:t>
            </w:r>
            <w:r w:rsidRPr="00224E9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24E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24E9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24E9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24E9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24E9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>(ак</w:t>
            </w:r>
            <w:r w:rsidR="00AE2B1A" w:rsidRPr="00224E99">
              <w:rPr>
                <w:rFonts w:ascii="Times New Roman" w:hAnsi="Times New Roman" w:cs="Times New Roman"/>
                <w:b/>
              </w:rPr>
              <w:t>адемические</w:t>
            </w:r>
            <w:r w:rsidRPr="00224E9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24E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24E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24E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24E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24E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24E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24E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24E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24E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24E9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24E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24E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Тема 1. Введение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24E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24E99">
              <w:rPr>
                <w:sz w:val="22"/>
                <w:szCs w:val="22"/>
                <w:lang w:bidi="ru-RU"/>
              </w:rPr>
              <w:t>Рынок и фирма. Границы рынка и границы фирмы. Концентрация и рыночная власть. Провалы рынка. Цели ESG и проблемы измерения результатов. Дискуссионные вопросы корпоративной ответственности. Устойчивое развитие и государственное регулирование отраслевых рынков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24E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24E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0042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D1713" w14:textId="77777777" w:rsidR="004475DA" w:rsidRPr="00224E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Тема 2. Современная теория фирмы в контексте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AB1442" w14:textId="77777777" w:rsidR="004475DA" w:rsidRPr="00224E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24E99">
              <w:rPr>
                <w:sz w:val="22"/>
                <w:szCs w:val="22"/>
                <w:lang w:bidi="ru-RU"/>
              </w:rPr>
              <w:t>Транзакционный подход к природе фирмы. Проблема стимулирования.  Внутренняя и внешняя мотивация. Модель двусторонней монополии и защита прав работников и потребителей. Дискриминация в трудовых отношениях.</w:t>
            </w:r>
            <w:r w:rsidRPr="00224E99">
              <w:rPr>
                <w:sz w:val="22"/>
                <w:szCs w:val="22"/>
                <w:lang w:bidi="ru-RU"/>
              </w:rPr>
              <w:br/>
              <w:t>Контрактный подход к теории фирмы. Неполные контракты и специфические активы. Влияние контрактной неполноты на величину специфических инвестиций. Выбор между интегрированной и независимой структурой управления специфическими инвестициями</w:t>
            </w:r>
            <w:r w:rsidRPr="00224E99">
              <w:rPr>
                <w:sz w:val="22"/>
                <w:szCs w:val="22"/>
                <w:lang w:bidi="ru-RU"/>
              </w:rPr>
              <w:br/>
            </w:r>
            <w:r w:rsidRPr="00224E99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351871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F7999E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CD11D3" w14:textId="77777777" w:rsidR="004475DA" w:rsidRPr="00224E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193CF" w14:textId="77777777" w:rsidR="004475DA" w:rsidRPr="00224E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1050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15E49B" w14:textId="77777777" w:rsidR="004475DA" w:rsidRPr="00224E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Тема 3. Монополия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EFF735" w14:textId="77777777" w:rsidR="004475DA" w:rsidRPr="00224E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24E99">
              <w:rPr>
                <w:sz w:val="22"/>
                <w:szCs w:val="22"/>
                <w:lang w:bidi="ru-RU"/>
              </w:rPr>
              <w:t>Максимизация прибыли монополии и правило обратной эластичности. Естественная монополия и проблемы ее регулирования. Налогообложение монополии. Модели ценовой дискриминации первого, второго и третьего рода.</w:t>
            </w:r>
            <w:r w:rsidRPr="00224E99">
              <w:rPr>
                <w:sz w:val="22"/>
                <w:szCs w:val="22"/>
                <w:lang w:bidi="ru-RU"/>
              </w:rPr>
              <w:br/>
              <w:t>Монополия и выбор уровня качества. Вертикальная и горизонтальная дифференциация продукта. Проблема асимметричной информации. Влияние информированности потребителей на выбор качества. Модель «рынка лимонов». Примеры. Стратегии преодоления проблемы асимметричной информации: реклама и повторные покупки.</w:t>
            </w:r>
            <w:r w:rsidRPr="00224E99">
              <w:rPr>
                <w:sz w:val="22"/>
                <w:szCs w:val="22"/>
                <w:lang w:bidi="ru-RU"/>
              </w:rPr>
              <w:br/>
              <w:t>Монополия и вертикальный контроль. Двойная маржинализация. Вертикальный контроль в условиях нескольких ресурсов и нескольких марок.</w:t>
            </w:r>
            <w:r w:rsidRPr="00224E99">
              <w:rPr>
                <w:sz w:val="22"/>
                <w:szCs w:val="22"/>
                <w:lang w:bidi="ru-RU"/>
              </w:rPr>
              <w:br/>
              <w:t>Асимметричная информация и репутация.</w:t>
            </w:r>
            <w:r w:rsidRPr="00224E99">
              <w:rPr>
                <w:sz w:val="22"/>
                <w:szCs w:val="22"/>
                <w:lang w:bidi="ru-RU"/>
              </w:rPr>
              <w:br/>
              <w:t>Барьеры входа. Монополии и состязательные рынки. Принятие решения о входе в отрасль. Сдерживание входа. Монополии и погоня за рентой</w:t>
            </w:r>
            <w:r w:rsidRPr="00224E99">
              <w:rPr>
                <w:sz w:val="22"/>
                <w:szCs w:val="22"/>
                <w:lang w:bidi="ru-RU"/>
              </w:rPr>
              <w:br/>
              <w:t>Пиковое ценообразование в энергетике и водоснабжении</w:t>
            </w:r>
            <w:r w:rsidRPr="00224E99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EB917C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904BB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76D18" w14:textId="77777777" w:rsidR="004475DA" w:rsidRPr="00224E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A138E3" w14:textId="77777777" w:rsidR="004475DA" w:rsidRPr="00224E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055C5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E87301" w14:textId="77777777" w:rsidR="004475DA" w:rsidRPr="00224E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Тема 4. Олигополия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90B811" w14:textId="77777777" w:rsidR="004475DA" w:rsidRPr="00224E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24E99">
              <w:rPr>
                <w:sz w:val="22"/>
                <w:szCs w:val="22"/>
                <w:lang w:bidi="ru-RU"/>
              </w:rPr>
              <w:t>Ценовая и неценовая конкуренция в краткосрочном периоде (парадокс Бертрана, модель Курно). Конкуренция в длительной перспективе. Стратегическое поведение и дифференциация продукта. Коопетиция. Неявный сговор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F241B0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CECAC9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4676A8" w14:textId="77777777" w:rsidR="004475DA" w:rsidRPr="00224E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42EB9D" w14:textId="77777777" w:rsidR="004475DA" w:rsidRPr="00224E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7853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77FCFE" w14:textId="77777777" w:rsidR="004475DA" w:rsidRPr="00224E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Тема 5. Производство и регулирование внешних эффектов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318818" w14:textId="77777777" w:rsidR="004475DA" w:rsidRPr="00224E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24E99">
              <w:rPr>
                <w:sz w:val="22"/>
                <w:szCs w:val="22"/>
                <w:lang w:bidi="ru-RU"/>
              </w:rPr>
              <w:t>Внешние эффекты и теорема Коуза. Налог Пигу и квоты. Рынок квот и залог. Множественность равновесий в экономике с внешними эффектами. Государственное стимулирование производства положительных внешних эффектов. Производство внешних эффектов в зависимости от структуры рынка. Чувствительность к экологическим критериям и ценовая дискриминация. Раскрытие информации о внешних эффектах как рыночная стратегия.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EE92B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83F867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DD62D5" w14:textId="77777777" w:rsidR="004475DA" w:rsidRPr="00224E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254FEE" w14:textId="77777777" w:rsidR="004475DA" w:rsidRPr="00224E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53C7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44626" w14:textId="77777777" w:rsidR="004475DA" w:rsidRPr="00224E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Тема 6. Направление инноваций, рыночная структура и устойчивое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3EE55" w14:textId="77777777" w:rsidR="004475DA" w:rsidRPr="00224E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24E99">
              <w:rPr>
                <w:sz w:val="22"/>
                <w:szCs w:val="22"/>
                <w:lang w:bidi="ru-RU"/>
              </w:rPr>
              <w:t>Стратегическое поведение и НИОКР. Инновации. Патенты. Создание новых продуктов и имитация. Стандартизация. Рыночные структуры и ориентация инноваций. Автоматизация и новые задачи для работников. Выбор между покупкой стартапов и собственными инновациями.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FAF424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74EAF0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65B535" w14:textId="77777777" w:rsidR="004475DA" w:rsidRPr="00224E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E578B0" w14:textId="77777777" w:rsidR="004475DA" w:rsidRPr="00224E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F7A1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28220A" w14:textId="77777777" w:rsidR="004475DA" w:rsidRPr="00224E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Тема 7. Рынки с сетевыми эффектами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AE938D" w14:textId="77777777" w:rsidR="004475DA" w:rsidRPr="00224E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24E99">
              <w:rPr>
                <w:sz w:val="22"/>
                <w:szCs w:val="22"/>
                <w:lang w:bidi="ru-RU"/>
              </w:rPr>
              <w:t>Источники сетевых эффектов. Множественность равновесий. Экономика платформ. Привязка к продавцу, совместимость и мультихоуминг. Двусторонние рынки. Социальные аспекты функционирования рынков с сетевыми эффектами. Рынки социальных сетей и СМИ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5F71B8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9A9674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ACE96" w14:textId="77777777" w:rsidR="004475DA" w:rsidRPr="00224E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4204A" w14:textId="77777777" w:rsidR="004475DA" w:rsidRPr="00224E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770B2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0A1D43" w14:textId="77777777" w:rsidR="004475DA" w:rsidRPr="00224E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Тема 8. Дизайн рынков в экономике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117C17" w14:textId="77777777" w:rsidR="004475DA" w:rsidRPr="00224E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24E99">
              <w:rPr>
                <w:sz w:val="22"/>
                <w:szCs w:val="22"/>
                <w:lang w:bidi="ru-RU"/>
              </w:rPr>
              <w:t>Рынки и аукционы. Неценовые факторы на рынке и мэтчинг. Проклятье победителя и формат аукциона. Выявление спроса на общественное благо. Дизайн рынка в социально значимых отраслях: образование, медицина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D255A6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2C8C3B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0CA5DA" w14:textId="77777777" w:rsidR="004475DA" w:rsidRPr="00224E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435DC1" w14:textId="77777777" w:rsidR="004475DA" w:rsidRPr="00224E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CA21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89DA85" w14:textId="77777777" w:rsidR="004475DA" w:rsidRPr="00224E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Тема 9. Отраслевые рынки и устойчивое развитие в глобальном масштабе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0CFD2" w14:textId="77777777" w:rsidR="004475DA" w:rsidRPr="00224E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24E99">
              <w:rPr>
                <w:sz w:val="22"/>
                <w:szCs w:val="22"/>
                <w:lang w:bidi="ru-RU"/>
              </w:rPr>
              <w:t>Асимметрия между фирмами: национальная фирма и иностранный производители, локальные фирмы и фирмы, действующие на нескольких рынках. Влияние открытости на рыночную структуру. Антимонопольная политика и стратегическая политика государства. Факторная продуктивность и факторная мобильность. "Зеленый переход" и международное регулирование деятельности корпораций</w:t>
            </w:r>
            <w:r w:rsidRPr="00224E99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818B46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C8CA0D" w14:textId="77777777" w:rsidR="004475DA" w:rsidRPr="00224E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FC5BD2" w14:textId="77777777" w:rsidR="004475DA" w:rsidRPr="00224E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5B4DF2" w14:textId="77777777" w:rsidR="004475DA" w:rsidRPr="00224E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24E9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24E9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24E9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24E9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24E9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24E9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24E9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24E9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24E99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24E9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24E99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24E9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24E9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24E99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8"/>
        <w:gridCol w:w="2889"/>
      </w:tblGrid>
      <w:tr w:rsidR="00262CF0" w:rsidRPr="00224E99" w14:paraId="5F00FF08" w14:textId="77777777" w:rsidTr="00224E99">
        <w:trPr>
          <w:trHeight w:val="641"/>
        </w:trPr>
        <w:tc>
          <w:tcPr>
            <w:tcW w:w="3571" w:type="pct"/>
            <w:shd w:val="clear" w:color="auto" w:fill="auto"/>
            <w:vAlign w:val="center"/>
            <w:hideMark/>
          </w:tcPr>
          <w:p w14:paraId="32DEE01C" w14:textId="6DE4B03A" w:rsidR="00262CF0" w:rsidRPr="00224E9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4E9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29" w:type="pct"/>
            <w:shd w:val="clear" w:color="auto" w:fill="auto"/>
            <w:vAlign w:val="center"/>
            <w:hideMark/>
          </w:tcPr>
          <w:p w14:paraId="1C1EA733" w14:textId="77777777" w:rsidR="00262CF0" w:rsidRPr="00224E9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4E9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24E99" w14:paraId="1433EE91" w14:textId="77777777" w:rsidTr="00224E99">
        <w:trPr>
          <w:trHeight w:val="354"/>
        </w:trPr>
        <w:tc>
          <w:tcPr>
            <w:tcW w:w="3571" w:type="pct"/>
            <w:shd w:val="clear" w:color="auto" w:fill="auto"/>
            <w:vAlign w:val="center"/>
          </w:tcPr>
          <w:p w14:paraId="31B092F5" w14:textId="4DED7782" w:rsidR="00262CF0" w:rsidRPr="00224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4E99">
              <w:rPr>
                <w:rFonts w:ascii="Times New Roman" w:hAnsi="Times New Roman" w:cs="Times New Roman"/>
              </w:rPr>
              <w:t>Розанова, Н. М.  Теория отраслевых рынков: продвинутый уровень : учебник для вузов / Н. М. Розанова. — 4-е изд., перераб. и доп. — Москва : Издательство Юрайт, 2025</w:t>
            </w:r>
          </w:p>
        </w:tc>
        <w:tc>
          <w:tcPr>
            <w:tcW w:w="1429" w:type="pct"/>
            <w:shd w:val="clear" w:color="auto" w:fill="auto"/>
            <w:vAlign w:val="center"/>
            <w:hideMark/>
          </w:tcPr>
          <w:p w14:paraId="25965B29" w14:textId="0CF2FFC1" w:rsidR="00262CF0" w:rsidRPr="00224E99" w:rsidRDefault="00553C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24E9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https://urait.ru/bcode/561508</w:t>
              </w:r>
            </w:hyperlink>
          </w:p>
        </w:tc>
      </w:tr>
      <w:tr w:rsidR="00224E99" w:rsidRPr="00224E99" w14:paraId="452692CA" w14:textId="77777777" w:rsidTr="00224E99">
        <w:trPr>
          <w:trHeight w:val="354"/>
        </w:trPr>
        <w:tc>
          <w:tcPr>
            <w:tcW w:w="3571" w:type="pct"/>
            <w:shd w:val="clear" w:color="auto" w:fill="auto"/>
            <w:vAlign w:val="center"/>
          </w:tcPr>
          <w:p w14:paraId="49ED42DE" w14:textId="4D9AFF23" w:rsidR="00224E99" w:rsidRPr="00224E99" w:rsidRDefault="00224E99" w:rsidP="00AA7A6A">
            <w:pPr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i/>
                <w:iCs/>
                <w:color w:val="000000"/>
                <w:bdr w:val="single" w:sz="2" w:space="0" w:color="E5E7EB" w:frame="1"/>
                <w:shd w:val="clear" w:color="auto" w:fill="FFFFFF"/>
              </w:rPr>
              <w:t>Заздравных, А. В. </w:t>
            </w:r>
            <w:r w:rsidRPr="00224E9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Экономика отраслевых рынков : учебник и практикум для вузов / А. В. Заздравных, Е. Ю. Бойцова. — 2-е изд. — Москва : Издательство Юрайт, 2025. — 359 с. — (Высшее образование). — ISBN 978-5-534-15225-8. </w:t>
            </w:r>
          </w:p>
        </w:tc>
        <w:tc>
          <w:tcPr>
            <w:tcW w:w="1429" w:type="pct"/>
            <w:shd w:val="clear" w:color="auto" w:fill="auto"/>
            <w:vAlign w:val="center"/>
          </w:tcPr>
          <w:p w14:paraId="2E2B108C" w14:textId="280AEB4A" w:rsidR="00224E99" w:rsidRPr="00224E99" w:rsidRDefault="00553C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tgtFrame="_blank" w:history="1">
              <w:r w:rsidR="00224E99" w:rsidRPr="00224E99">
                <w:rPr>
                  <w:rStyle w:val="a8"/>
                  <w:rFonts w:ascii="Times New Roman" w:hAnsi="Times New Roman" w:cs="Times New Roman"/>
                  <w:color w:val="486C97"/>
                  <w:bdr w:val="single" w:sz="2" w:space="0" w:color="E5E7EB" w:frame="1"/>
                  <w:shd w:val="clear" w:color="auto" w:fill="FFFFFF"/>
                </w:rPr>
                <w:t>https://urait.ru/bcode/560891</w:t>
              </w:r>
            </w:hyperlink>
            <w:r w:rsidR="00224E99" w:rsidRPr="00224E9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24E99" w:rsidRPr="00224E99" w14:paraId="5CF0170D" w14:textId="77777777" w:rsidTr="00224E99">
        <w:trPr>
          <w:trHeight w:val="354"/>
        </w:trPr>
        <w:tc>
          <w:tcPr>
            <w:tcW w:w="3571" w:type="pct"/>
            <w:shd w:val="clear" w:color="auto" w:fill="auto"/>
            <w:vAlign w:val="center"/>
          </w:tcPr>
          <w:p w14:paraId="16AF0139" w14:textId="16BD0D9C" w:rsidR="00224E99" w:rsidRPr="00224E99" w:rsidRDefault="00224E99" w:rsidP="00AA7A6A">
            <w:pPr>
              <w:rPr>
                <w:rFonts w:ascii="Times New Roman" w:hAnsi="Times New Roman" w:cs="Times New Roman"/>
                <w:i/>
                <w:iCs/>
                <w:color w:val="000000"/>
                <w:bdr w:val="single" w:sz="2" w:space="0" w:color="E5E7EB" w:frame="1"/>
                <w:shd w:val="clear" w:color="auto" w:fill="FFFFFF"/>
              </w:rPr>
            </w:pPr>
            <w:r w:rsidRPr="00224E99">
              <w:rPr>
                <w:rFonts w:ascii="Times New Roman" w:hAnsi="Times New Roman" w:cs="Times New Roman"/>
                <w:i/>
                <w:iCs/>
                <w:color w:val="000000"/>
                <w:bdr w:val="single" w:sz="2" w:space="0" w:color="E5E7EB" w:frame="1"/>
                <w:shd w:val="clear" w:color="auto" w:fill="FFFFFF"/>
              </w:rPr>
              <w:t>Розанова, Н. М. </w:t>
            </w:r>
            <w:r w:rsidRPr="00224E9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Теория отраслевых рынков. Практикум : учебник для вузов / Н. М. Розанова. — Москва : Издательство Юрайт, 2025. — 492 с. — (Высшее образование). — ISBN 978-5-534-03899-6.</w:t>
            </w:r>
          </w:p>
        </w:tc>
        <w:tc>
          <w:tcPr>
            <w:tcW w:w="1429" w:type="pct"/>
            <w:shd w:val="clear" w:color="auto" w:fill="auto"/>
            <w:vAlign w:val="center"/>
          </w:tcPr>
          <w:p w14:paraId="52CEA72C" w14:textId="7E94DDB2" w:rsidR="00224E99" w:rsidRPr="00224E99" w:rsidRDefault="00224E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hyperlink r:id="rId14" w:tgtFrame="_blank" w:history="1">
              <w:r w:rsidRPr="00224E99">
                <w:rPr>
                  <w:rStyle w:val="a8"/>
                  <w:rFonts w:ascii="Times New Roman" w:hAnsi="Times New Roman" w:cs="Times New Roman"/>
                  <w:color w:val="486C97"/>
                  <w:bdr w:val="single" w:sz="2" w:space="0" w:color="E5E7EB" w:frame="1"/>
                  <w:shd w:val="clear" w:color="auto" w:fill="FFFFFF"/>
                </w:rPr>
                <w:t>https://urait.ru/bcode/560043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BAB556" w14:textId="77777777" w:rsidTr="007B550D">
        <w:tc>
          <w:tcPr>
            <w:tcW w:w="9345" w:type="dxa"/>
          </w:tcPr>
          <w:p w14:paraId="3D7E48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743481" w14:textId="77777777" w:rsidTr="007B550D">
        <w:tc>
          <w:tcPr>
            <w:tcW w:w="9345" w:type="dxa"/>
          </w:tcPr>
          <w:p w14:paraId="05CB83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3B67E0" w14:textId="77777777" w:rsidTr="007B550D">
        <w:tc>
          <w:tcPr>
            <w:tcW w:w="9345" w:type="dxa"/>
          </w:tcPr>
          <w:p w14:paraId="640F2C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C0D49F9" w14:textId="77777777" w:rsidTr="007B550D">
        <w:tc>
          <w:tcPr>
            <w:tcW w:w="9345" w:type="dxa"/>
          </w:tcPr>
          <w:p w14:paraId="430CC5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53C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24E99" w:rsidRDefault="002C735C" w:rsidP="00224E9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24E9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24E99" w:rsidRDefault="002C735C" w:rsidP="00224E9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24E9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96B4E99" w:rsidR="002C735C" w:rsidRPr="00224E99" w:rsidRDefault="00B43524" w:rsidP="00224E9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24E99">
              <w:rPr>
                <w:sz w:val="22"/>
                <w:szCs w:val="22"/>
              </w:rPr>
              <w:t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</w:rPr>
              <w:t xml:space="preserve">Специализированная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224E99">
              <w:rPr>
                <w:sz w:val="22"/>
                <w:szCs w:val="22"/>
                <w:lang w:val="en-US"/>
              </w:rPr>
              <w:t>Intel</w:t>
            </w:r>
            <w:r w:rsidRP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  <w:lang w:val="en-US"/>
              </w:rPr>
              <w:t>i</w:t>
            </w:r>
            <w:r w:rsidRPr="00224E99">
              <w:rPr>
                <w:sz w:val="22"/>
                <w:szCs w:val="22"/>
              </w:rPr>
              <w:t xml:space="preserve">3-2100 2.4 </w:t>
            </w:r>
            <w:r w:rsidRPr="00224E99">
              <w:rPr>
                <w:sz w:val="22"/>
                <w:szCs w:val="22"/>
                <w:lang w:val="en-US"/>
              </w:rPr>
              <w:t>Ghz</w:t>
            </w:r>
            <w:r w:rsidRPr="00224E99">
              <w:rPr>
                <w:sz w:val="22"/>
                <w:szCs w:val="22"/>
              </w:rPr>
              <w:t>/500/4/</w:t>
            </w:r>
            <w:r w:rsidRPr="00224E99">
              <w:rPr>
                <w:sz w:val="22"/>
                <w:szCs w:val="22"/>
                <w:lang w:val="en-US"/>
              </w:rPr>
              <w:t>Acer</w:t>
            </w:r>
            <w:r w:rsidRP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  <w:lang w:val="en-US"/>
              </w:rPr>
              <w:t>V</w:t>
            </w:r>
            <w:r w:rsidRPr="00224E99">
              <w:rPr>
                <w:sz w:val="22"/>
                <w:szCs w:val="22"/>
              </w:rPr>
              <w:t xml:space="preserve">193 19" - 1 шт., Интерактивный проектор </w:t>
            </w:r>
            <w:r w:rsidRPr="00224E99">
              <w:rPr>
                <w:sz w:val="22"/>
                <w:szCs w:val="22"/>
                <w:lang w:val="en-US"/>
              </w:rPr>
              <w:t>Epson</w:t>
            </w:r>
            <w:r w:rsidRPr="00224E99">
              <w:rPr>
                <w:sz w:val="22"/>
                <w:szCs w:val="22"/>
              </w:rPr>
              <w:t>-</w:t>
            </w:r>
            <w:r w:rsidRPr="00224E99">
              <w:rPr>
                <w:sz w:val="22"/>
                <w:szCs w:val="22"/>
                <w:lang w:val="en-US"/>
              </w:rPr>
              <w:t>EB</w:t>
            </w:r>
            <w:r w:rsidRPr="00224E99">
              <w:rPr>
                <w:sz w:val="22"/>
                <w:szCs w:val="22"/>
              </w:rPr>
              <w:t>-455</w:t>
            </w:r>
            <w:r w:rsidRPr="00224E99">
              <w:rPr>
                <w:sz w:val="22"/>
                <w:szCs w:val="22"/>
                <w:lang w:val="en-US"/>
              </w:rPr>
              <w:t>Wi</w:t>
            </w:r>
            <w:r w:rsidRPr="00224E9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24E99" w:rsidRDefault="00B43524" w:rsidP="00224E9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24E9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6C714CA" w14:textId="77777777" w:rsidTr="008416EB">
        <w:tc>
          <w:tcPr>
            <w:tcW w:w="7797" w:type="dxa"/>
            <w:shd w:val="clear" w:color="auto" w:fill="auto"/>
          </w:tcPr>
          <w:p w14:paraId="04DBC302" w14:textId="44B2FAA8" w:rsidR="002C735C" w:rsidRPr="00224E99" w:rsidRDefault="00B43524" w:rsidP="00224E9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24E99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224E99">
              <w:rPr>
                <w:sz w:val="22"/>
                <w:szCs w:val="22"/>
                <w:lang w:val="en-US"/>
              </w:rPr>
              <w:t>Lenovo</w:t>
            </w:r>
            <w:r w:rsidRPr="00224E99">
              <w:rPr>
                <w:sz w:val="22"/>
                <w:szCs w:val="22"/>
              </w:rPr>
              <w:t xml:space="preserve"> тип 1 (</w:t>
            </w:r>
            <w:r w:rsidRPr="00224E99">
              <w:rPr>
                <w:sz w:val="22"/>
                <w:szCs w:val="22"/>
                <w:lang w:val="en-US"/>
              </w:rPr>
              <w:t>Core</w:t>
            </w:r>
            <w:r w:rsidRP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  <w:lang w:val="en-US"/>
              </w:rPr>
              <w:t>I</w:t>
            </w:r>
            <w:r w:rsidRPr="00224E99">
              <w:rPr>
                <w:sz w:val="22"/>
                <w:szCs w:val="22"/>
              </w:rPr>
              <w:t xml:space="preserve">3 2100+монитор </w:t>
            </w:r>
            <w:r w:rsidRPr="00224E99">
              <w:rPr>
                <w:sz w:val="22"/>
                <w:szCs w:val="22"/>
                <w:lang w:val="en-US"/>
              </w:rPr>
              <w:t>Acer</w:t>
            </w:r>
            <w:r w:rsidRP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  <w:lang w:val="en-US"/>
              </w:rPr>
              <w:t>V</w:t>
            </w:r>
            <w:r w:rsidRPr="00224E99">
              <w:rPr>
                <w:sz w:val="22"/>
                <w:szCs w:val="22"/>
              </w:rPr>
              <w:t xml:space="preserve">193) - 1 шт., Интерактивный проектор </w:t>
            </w:r>
            <w:r w:rsidRPr="00224E99">
              <w:rPr>
                <w:sz w:val="22"/>
                <w:szCs w:val="22"/>
                <w:lang w:val="en-US"/>
              </w:rPr>
              <w:t>Epson</w:t>
            </w:r>
            <w:r w:rsidRP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  <w:lang w:val="en-US"/>
              </w:rPr>
              <w:t>EB</w:t>
            </w:r>
            <w:r w:rsidRPr="00224E99">
              <w:rPr>
                <w:sz w:val="22"/>
                <w:szCs w:val="22"/>
              </w:rPr>
              <w:t>-485</w:t>
            </w:r>
            <w:r w:rsidRPr="00224E99">
              <w:rPr>
                <w:sz w:val="22"/>
                <w:szCs w:val="22"/>
                <w:lang w:val="en-US"/>
              </w:rPr>
              <w:t>Wi</w:t>
            </w:r>
            <w:r w:rsidRPr="00224E9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D4C644" w14:textId="77777777" w:rsidR="002C735C" w:rsidRPr="00224E99" w:rsidRDefault="00B43524" w:rsidP="00224E9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24E9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42FCAE9" w14:textId="77777777" w:rsidTr="008416EB">
        <w:tc>
          <w:tcPr>
            <w:tcW w:w="7797" w:type="dxa"/>
            <w:shd w:val="clear" w:color="auto" w:fill="auto"/>
          </w:tcPr>
          <w:p w14:paraId="7E756D69" w14:textId="2146C5EA" w:rsidR="002C735C" w:rsidRPr="00224E99" w:rsidRDefault="00B43524" w:rsidP="00224E9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24E99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224E99">
              <w:rPr>
                <w:sz w:val="22"/>
                <w:szCs w:val="22"/>
                <w:lang w:val="en-US"/>
              </w:rPr>
              <w:t>Intel</w:t>
            </w:r>
            <w:r w:rsidRP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  <w:lang w:val="en-US"/>
              </w:rPr>
              <w:t>I</w:t>
            </w:r>
            <w:r w:rsidRPr="00224E99">
              <w:rPr>
                <w:sz w:val="22"/>
                <w:szCs w:val="22"/>
              </w:rPr>
              <w:t>5-7400/16</w:t>
            </w:r>
            <w:r w:rsidRPr="00224E99">
              <w:rPr>
                <w:sz w:val="22"/>
                <w:szCs w:val="22"/>
                <w:lang w:val="en-US"/>
              </w:rPr>
              <w:t>Gb</w:t>
            </w:r>
            <w:r w:rsidRPr="00224E99">
              <w:rPr>
                <w:sz w:val="22"/>
                <w:szCs w:val="22"/>
              </w:rPr>
              <w:t>/1</w:t>
            </w:r>
            <w:r w:rsidRPr="00224E99">
              <w:rPr>
                <w:sz w:val="22"/>
                <w:szCs w:val="22"/>
                <w:lang w:val="en-US"/>
              </w:rPr>
              <w:t>Tb</w:t>
            </w:r>
            <w:r w:rsidRPr="00224E99">
              <w:rPr>
                <w:sz w:val="22"/>
                <w:szCs w:val="22"/>
              </w:rPr>
              <w:t xml:space="preserve">/ видеокарта </w:t>
            </w:r>
            <w:r w:rsidRPr="00224E99">
              <w:rPr>
                <w:sz w:val="22"/>
                <w:szCs w:val="22"/>
                <w:lang w:val="en-US"/>
              </w:rPr>
              <w:t>NVIDIA</w:t>
            </w:r>
            <w:r w:rsidRP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  <w:lang w:val="en-US"/>
              </w:rPr>
              <w:t>GeForce</w:t>
            </w:r>
            <w:r w:rsidRP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  <w:lang w:val="en-US"/>
              </w:rPr>
              <w:t>GT</w:t>
            </w:r>
            <w:r w:rsidRPr="00224E99">
              <w:rPr>
                <w:sz w:val="22"/>
                <w:szCs w:val="22"/>
              </w:rPr>
              <w:t xml:space="preserve"> 710/Монитор </w:t>
            </w:r>
            <w:r w:rsidRPr="00224E99">
              <w:rPr>
                <w:sz w:val="22"/>
                <w:szCs w:val="22"/>
                <w:lang w:val="en-US"/>
              </w:rPr>
              <w:t>DELL</w:t>
            </w:r>
            <w:r w:rsidRP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  <w:lang w:val="en-US"/>
              </w:rPr>
              <w:t>S</w:t>
            </w:r>
            <w:r w:rsidRPr="00224E99">
              <w:rPr>
                <w:sz w:val="22"/>
                <w:szCs w:val="22"/>
              </w:rPr>
              <w:t>2218</w:t>
            </w:r>
            <w:r w:rsidRPr="00224E99">
              <w:rPr>
                <w:sz w:val="22"/>
                <w:szCs w:val="22"/>
                <w:lang w:val="en-US"/>
              </w:rPr>
              <w:t>H</w:t>
            </w:r>
            <w:r w:rsidRPr="00224E9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224E99">
              <w:rPr>
                <w:sz w:val="22"/>
                <w:szCs w:val="22"/>
                <w:lang w:val="en-US"/>
              </w:rPr>
              <w:t>ProCurve</w:t>
            </w:r>
            <w:r w:rsidRP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  <w:lang w:val="en-US"/>
              </w:rPr>
              <w:t>Switch</w:t>
            </w:r>
            <w:r w:rsidRPr="00224E99">
              <w:rPr>
                <w:sz w:val="22"/>
                <w:szCs w:val="22"/>
              </w:rPr>
              <w:t xml:space="preserve"> 2626 - 1 шт., Мультимедийный проектор </w:t>
            </w:r>
            <w:r w:rsidRPr="00224E99">
              <w:rPr>
                <w:sz w:val="22"/>
                <w:szCs w:val="22"/>
                <w:lang w:val="en-US"/>
              </w:rPr>
              <w:t>Optoma</w:t>
            </w:r>
            <w:r w:rsidRP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  <w:lang w:val="en-US"/>
              </w:rPr>
              <w:t>x</w:t>
            </w:r>
            <w:r w:rsidRPr="00224E99">
              <w:rPr>
                <w:sz w:val="22"/>
                <w:szCs w:val="22"/>
              </w:rPr>
              <w:t xml:space="preserve"> 400 - 1 шт., Экран подпружинен.ручной </w:t>
            </w:r>
            <w:r w:rsidRPr="00224E99">
              <w:rPr>
                <w:sz w:val="22"/>
                <w:szCs w:val="22"/>
                <w:lang w:val="en-US"/>
              </w:rPr>
              <w:t>MW</w:t>
            </w:r>
            <w:r w:rsidRPr="00224E99">
              <w:rPr>
                <w:sz w:val="22"/>
                <w:szCs w:val="22"/>
              </w:rPr>
              <w:t xml:space="preserve"> </w:t>
            </w:r>
            <w:r w:rsidRPr="00224E99">
              <w:rPr>
                <w:sz w:val="22"/>
                <w:szCs w:val="22"/>
                <w:lang w:val="en-US"/>
              </w:rPr>
              <w:t>Cinerollo</w:t>
            </w:r>
            <w:r w:rsidRPr="00224E99">
              <w:rPr>
                <w:sz w:val="22"/>
                <w:szCs w:val="22"/>
              </w:rPr>
              <w:t xml:space="preserve"> 200х200см (</w:t>
            </w:r>
            <w:r w:rsidRPr="00224E99">
              <w:rPr>
                <w:sz w:val="22"/>
                <w:szCs w:val="22"/>
                <w:lang w:val="en-US"/>
              </w:rPr>
              <w:t>S</w:t>
            </w:r>
            <w:r w:rsidRPr="00224E99">
              <w:rPr>
                <w:sz w:val="22"/>
                <w:szCs w:val="22"/>
              </w:rPr>
              <w:t>/</w:t>
            </w:r>
            <w:r w:rsidRPr="00224E99">
              <w:rPr>
                <w:sz w:val="22"/>
                <w:szCs w:val="22"/>
                <w:lang w:val="en-US"/>
              </w:rPr>
              <w:t>N</w:t>
            </w:r>
            <w:r w:rsidRPr="00224E9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F341CA" w14:textId="77777777" w:rsidR="002C735C" w:rsidRPr="00224E99" w:rsidRDefault="00B43524" w:rsidP="00224E9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24E9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Границы рынка и границы фирмы</w:t>
            </w:r>
          </w:p>
        </w:tc>
      </w:tr>
      <w:tr w:rsidR="009E6058" w14:paraId="79D74258" w14:textId="77777777" w:rsidTr="00F00293">
        <w:tc>
          <w:tcPr>
            <w:tcW w:w="562" w:type="dxa"/>
          </w:tcPr>
          <w:p w14:paraId="38880F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6B85D11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Показатели концентрация и рыночной власти</w:t>
            </w:r>
          </w:p>
        </w:tc>
      </w:tr>
      <w:tr w:rsidR="009E6058" w14:paraId="17511AFF" w14:textId="77777777" w:rsidTr="00F00293">
        <w:tc>
          <w:tcPr>
            <w:tcW w:w="562" w:type="dxa"/>
          </w:tcPr>
          <w:p w14:paraId="52191C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7122CF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Провалы рынка и провалы регулирования.</w:t>
            </w:r>
          </w:p>
        </w:tc>
      </w:tr>
      <w:tr w:rsidR="009E6058" w14:paraId="1007877D" w14:textId="77777777" w:rsidTr="00F00293">
        <w:tc>
          <w:tcPr>
            <w:tcW w:w="562" w:type="dxa"/>
          </w:tcPr>
          <w:p w14:paraId="1D855A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FE0D992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Устойчивое развитие и корпоративная ответственность</w:t>
            </w:r>
          </w:p>
        </w:tc>
      </w:tr>
      <w:tr w:rsidR="009E6058" w14:paraId="3FCABC49" w14:textId="77777777" w:rsidTr="00F00293">
        <w:tc>
          <w:tcPr>
            <w:tcW w:w="562" w:type="dxa"/>
          </w:tcPr>
          <w:p w14:paraId="0BE58A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0E4DC9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Транзакционный и контрактный подходы к природе фирмы.</w:t>
            </w:r>
          </w:p>
        </w:tc>
      </w:tr>
      <w:tr w:rsidR="009E6058" w14:paraId="1652FC62" w14:textId="77777777" w:rsidTr="00F00293">
        <w:tc>
          <w:tcPr>
            <w:tcW w:w="562" w:type="dxa"/>
          </w:tcPr>
          <w:p w14:paraId="5FA613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1362C6D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Моральный риск и оптимальный контракт</w:t>
            </w:r>
          </w:p>
        </w:tc>
      </w:tr>
      <w:tr w:rsidR="009E6058" w14:paraId="3791119A" w14:textId="77777777" w:rsidTr="00F00293">
        <w:tc>
          <w:tcPr>
            <w:tcW w:w="562" w:type="dxa"/>
          </w:tcPr>
          <w:p w14:paraId="08A90A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8079FFA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Взаимодействие внутренних и внешних стимулов у работников</w:t>
            </w:r>
          </w:p>
        </w:tc>
      </w:tr>
      <w:tr w:rsidR="009E6058" w14:paraId="11D3D362" w14:textId="77777777" w:rsidTr="00F00293">
        <w:tc>
          <w:tcPr>
            <w:tcW w:w="562" w:type="dxa"/>
          </w:tcPr>
          <w:p w14:paraId="535CFF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1C5F1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Выбор направления интеграции</w:t>
            </w:r>
          </w:p>
        </w:tc>
      </w:tr>
      <w:tr w:rsidR="009E6058" w14:paraId="7ED67E0C" w14:textId="77777777" w:rsidTr="00F00293">
        <w:tc>
          <w:tcPr>
            <w:tcW w:w="562" w:type="dxa"/>
          </w:tcPr>
          <w:p w14:paraId="06610F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4ACA8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24E99">
              <w:rPr>
                <w:sz w:val="23"/>
                <w:szCs w:val="23"/>
              </w:rPr>
              <w:t xml:space="preserve">Проблема стимулирования.  Внутренняя и внешняя мотивация. Модель двусторонней монополии и защита прав работников и потребителей. </w:t>
            </w:r>
            <w:r>
              <w:rPr>
                <w:sz w:val="23"/>
                <w:szCs w:val="23"/>
                <w:lang w:val="en-US"/>
              </w:rPr>
              <w:t>Дискриминация в трудовых отношениях.</w:t>
            </w:r>
          </w:p>
        </w:tc>
      </w:tr>
      <w:tr w:rsidR="009E6058" w14:paraId="055F1BF8" w14:textId="77777777" w:rsidTr="00F00293">
        <w:tc>
          <w:tcPr>
            <w:tcW w:w="562" w:type="dxa"/>
          </w:tcPr>
          <w:p w14:paraId="05AE7D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21D33F6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Максимизация прибыли монополии и правило обратной эластичности.</w:t>
            </w:r>
          </w:p>
        </w:tc>
      </w:tr>
      <w:tr w:rsidR="009E6058" w14:paraId="3816ADF9" w14:textId="77777777" w:rsidTr="00F00293">
        <w:tc>
          <w:tcPr>
            <w:tcW w:w="562" w:type="dxa"/>
          </w:tcPr>
          <w:p w14:paraId="2CC0A4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5617D73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Естественная монополия и проблемы ее регулирования. Налогообложение монополии. 12. Модели ценовой дискриминации первого, второго и третьего рода.</w:t>
            </w:r>
          </w:p>
        </w:tc>
      </w:tr>
      <w:tr w:rsidR="009E6058" w14:paraId="586F8EB9" w14:textId="77777777" w:rsidTr="00F00293">
        <w:tc>
          <w:tcPr>
            <w:tcW w:w="562" w:type="dxa"/>
          </w:tcPr>
          <w:p w14:paraId="591CF3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6B2E7B3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Вертикальная и горизонтальная дифференциация продукта.</w:t>
            </w:r>
          </w:p>
        </w:tc>
      </w:tr>
      <w:tr w:rsidR="009E6058" w14:paraId="409C6A33" w14:textId="77777777" w:rsidTr="00F00293">
        <w:tc>
          <w:tcPr>
            <w:tcW w:w="562" w:type="dxa"/>
          </w:tcPr>
          <w:p w14:paraId="4AC341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FA539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24E99">
              <w:rPr>
                <w:sz w:val="23"/>
                <w:szCs w:val="23"/>
              </w:rPr>
              <w:t xml:space="preserve">Проблема асимметричной информации. Влияние информированности потребителей на выбор качества. </w:t>
            </w:r>
            <w:r>
              <w:rPr>
                <w:sz w:val="23"/>
                <w:szCs w:val="23"/>
                <w:lang w:val="en-US"/>
              </w:rPr>
              <w:t>Стратегии преодоления проблемы асимметричной информации</w:t>
            </w:r>
          </w:p>
        </w:tc>
      </w:tr>
      <w:tr w:rsidR="009E6058" w14:paraId="208FAA15" w14:textId="77777777" w:rsidTr="00F00293">
        <w:tc>
          <w:tcPr>
            <w:tcW w:w="562" w:type="dxa"/>
          </w:tcPr>
          <w:p w14:paraId="4BA2F9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65AB2F1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Монополия и вертикальный контроль. Двойная маржинализация. Вертикальный контроль в условиях нескольких ресурсов и нескольких марок.</w:t>
            </w:r>
          </w:p>
        </w:tc>
      </w:tr>
      <w:tr w:rsidR="009E6058" w14:paraId="6311DA13" w14:textId="77777777" w:rsidTr="00F00293">
        <w:tc>
          <w:tcPr>
            <w:tcW w:w="562" w:type="dxa"/>
          </w:tcPr>
          <w:p w14:paraId="427CBC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64513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Барьеры входа на рынок</w:t>
            </w:r>
          </w:p>
        </w:tc>
      </w:tr>
      <w:tr w:rsidR="009E6058" w14:paraId="5B561CED" w14:textId="77777777" w:rsidTr="00F00293">
        <w:tc>
          <w:tcPr>
            <w:tcW w:w="562" w:type="dxa"/>
          </w:tcPr>
          <w:p w14:paraId="3EE7E4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1281FBA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Пиковое ценообразование в энергетике и водоснабжении</w:t>
            </w:r>
          </w:p>
        </w:tc>
      </w:tr>
      <w:tr w:rsidR="009E6058" w14:paraId="59F829A6" w14:textId="77777777" w:rsidTr="00F00293">
        <w:tc>
          <w:tcPr>
            <w:tcW w:w="562" w:type="dxa"/>
          </w:tcPr>
          <w:p w14:paraId="11A0A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A67C4DD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Ценовая и неценовая олигополий конкуренция в краткосрочном периоде</w:t>
            </w:r>
          </w:p>
        </w:tc>
      </w:tr>
      <w:tr w:rsidR="009E6058" w14:paraId="6C08C188" w14:textId="77777777" w:rsidTr="00F00293">
        <w:tc>
          <w:tcPr>
            <w:tcW w:w="562" w:type="dxa"/>
          </w:tcPr>
          <w:p w14:paraId="2062BD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70F2B9C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Конкуренция олигополий в длительной перспективе.</w:t>
            </w:r>
          </w:p>
        </w:tc>
      </w:tr>
      <w:tr w:rsidR="009E6058" w14:paraId="27E25204" w14:textId="77777777" w:rsidTr="00F00293">
        <w:tc>
          <w:tcPr>
            <w:tcW w:w="562" w:type="dxa"/>
          </w:tcPr>
          <w:p w14:paraId="26F571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15AEDE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Внешние эффекты и теорема Коуза. Налог Пигу и квоты. Рынок квот и залог.</w:t>
            </w:r>
          </w:p>
        </w:tc>
      </w:tr>
      <w:tr w:rsidR="009E6058" w14:paraId="01CB335B" w14:textId="77777777" w:rsidTr="00F00293">
        <w:tc>
          <w:tcPr>
            <w:tcW w:w="562" w:type="dxa"/>
          </w:tcPr>
          <w:p w14:paraId="307135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21885A1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Производство внешних эффектов в зависимости от структуры рынка.</w:t>
            </w:r>
          </w:p>
        </w:tc>
      </w:tr>
      <w:tr w:rsidR="009E6058" w14:paraId="1C495DCD" w14:textId="77777777" w:rsidTr="00F00293">
        <w:tc>
          <w:tcPr>
            <w:tcW w:w="562" w:type="dxa"/>
          </w:tcPr>
          <w:p w14:paraId="6B7DD0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4B76FD0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Чувствительность к экологическим критериям и ценовая дискриминация.</w:t>
            </w:r>
          </w:p>
        </w:tc>
      </w:tr>
      <w:tr w:rsidR="009E6058" w14:paraId="4F07FC36" w14:textId="77777777" w:rsidTr="00F00293">
        <w:tc>
          <w:tcPr>
            <w:tcW w:w="562" w:type="dxa"/>
          </w:tcPr>
          <w:p w14:paraId="45A02F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D55C8E0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Раскрытие информации о внешних эффектах как рыночная стратегия.</w:t>
            </w:r>
          </w:p>
        </w:tc>
      </w:tr>
      <w:tr w:rsidR="009E6058" w14:paraId="2629656E" w14:textId="77777777" w:rsidTr="00F00293">
        <w:tc>
          <w:tcPr>
            <w:tcW w:w="562" w:type="dxa"/>
          </w:tcPr>
          <w:p w14:paraId="00637E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3F341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Стратегическое поведение и НИОКР.</w:t>
            </w:r>
          </w:p>
        </w:tc>
      </w:tr>
      <w:tr w:rsidR="009E6058" w14:paraId="490C325C" w14:textId="77777777" w:rsidTr="00F00293">
        <w:tc>
          <w:tcPr>
            <w:tcW w:w="562" w:type="dxa"/>
          </w:tcPr>
          <w:p w14:paraId="1D24E7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BD943D6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Рыночные структуры и ориентация инноваций. Автоматизация и новые задачи для работников.</w:t>
            </w:r>
          </w:p>
        </w:tc>
      </w:tr>
      <w:tr w:rsidR="009E6058" w14:paraId="2A32ACAD" w14:textId="77777777" w:rsidTr="00F00293">
        <w:tc>
          <w:tcPr>
            <w:tcW w:w="562" w:type="dxa"/>
          </w:tcPr>
          <w:p w14:paraId="73F4CB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13B4780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Выбор между покупкой стартапов и собственными инновациями.</w:t>
            </w:r>
          </w:p>
        </w:tc>
      </w:tr>
      <w:tr w:rsidR="009E6058" w14:paraId="7D2AABBE" w14:textId="77777777" w:rsidTr="00F00293">
        <w:tc>
          <w:tcPr>
            <w:tcW w:w="562" w:type="dxa"/>
          </w:tcPr>
          <w:p w14:paraId="751745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8BF479A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Источники сетевых эффектов. Множественность равновесий. Привязка к продавцу, совместимость и мультихоуминг.</w:t>
            </w:r>
          </w:p>
        </w:tc>
      </w:tr>
      <w:tr w:rsidR="009E6058" w14:paraId="242C5C3F" w14:textId="77777777" w:rsidTr="00F00293">
        <w:tc>
          <w:tcPr>
            <w:tcW w:w="562" w:type="dxa"/>
          </w:tcPr>
          <w:p w14:paraId="690B9F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DE70E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Двусторонние рынки.</w:t>
            </w:r>
          </w:p>
        </w:tc>
      </w:tr>
      <w:tr w:rsidR="009E6058" w14:paraId="7C019CC7" w14:textId="77777777" w:rsidTr="00F00293">
        <w:tc>
          <w:tcPr>
            <w:tcW w:w="562" w:type="dxa"/>
          </w:tcPr>
          <w:p w14:paraId="54DBA7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9BEE91C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Социальные аспекты функционирования рынков с сетевыми эффектами.</w:t>
            </w:r>
          </w:p>
        </w:tc>
      </w:tr>
      <w:tr w:rsidR="009E6058" w14:paraId="237C71EA" w14:textId="77777777" w:rsidTr="00F00293">
        <w:tc>
          <w:tcPr>
            <w:tcW w:w="562" w:type="dxa"/>
          </w:tcPr>
          <w:p w14:paraId="64E874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4D110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Гейла-Шелли</w:t>
            </w:r>
          </w:p>
        </w:tc>
      </w:tr>
      <w:tr w:rsidR="009E6058" w14:paraId="327C17D6" w14:textId="77777777" w:rsidTr="00F00293">
        <w:tc>
          <w:tcPr>
            <w:tcW w:w="562" w:type="dxa"/>
          </w:tcPr>
          <w:p w14:paraId="782AE1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01A780C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Проклятье победителя и формат аукциона. Выявление спроса на общественное благо.</w:t>
            </w:r>
          </w:p>
        </w:tc>
      </w:tr>
      <w:tr w:rsidR="009E6058" w14:paraId="729AE2C7" w14:textId="77777777" w:rsidTr="00F00293">
        <w:tc>
          <w:tcPr>
            <w:tcW w:w="562" w:type="dxa"/>
          </w:tcPr>
          <w:p w14:paraId="5DAB3E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D8641E7" w14:textId="77777777" w:rsidR="009E6058" w:rsidRPr="00224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224E99">
              <w:rPr>
                <w:sz w:val="23"/>
                <w:szCs w:val="23"/>
              </w:rPr>
              <w:t>;Зеленый переход&amp;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224E99">
              <w:rPr>
                <w:sz w:val="23"/>
                <w:szCs w:val="23"/>
              </w:rPr>
              <w:t>; и международное регулирование деятельности корпораций на глобальном уровне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24E9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4E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24E99" w14:paraId="5A1C9382" w14:textId="77777777" w:rsidTr="00801458">
        <w:tc>
          <w:tcPr>
            <w:tcW w:w="2336" w:type="dxa"/>
          </w:tcPr>
          <w:p w14:paraId="4C518DAB" w14:textId="77777777" w:rsidR="005D65A5" w:rsidRPr="00224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24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24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24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24E99" w14:paraId="07658034" w14:textId="77777777" w:rsidTr="00801458">
        <w:tc>
          <w:tcPr>
            <w:tcW w:w="2336" w:type="dxa"/>
          </w:tcPr>
          <w:p w14:paraId="1553D698" w14:textId="78F29BFB" w:rsidR="005D65A5" w:rsidRPr="00224E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24E99" w:rsidRDefault="007478E0" w:rsidP="00801458">
            <w:pPr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24E99" w:rsidRDefault="007478E0" w:rsidP="00801458">
            <w:pPr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24E99" w:rsidRDefault="007478E0" w:rsidP="00801458">
            <w:pPr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24E99" w14:paraId="18E4A237" w14:textId="77777777" w:rsidTr="00801458">
        <w:tc>
          <w:tcPr>
            <w:tcW w:w="2336" w:type="dxa"/>
          </w:tcPr>
          <w:p w14:paraId="3AFADE69" w14:textId="77777777" w:rsidR="005D65A5" w:rsidRPr="00224E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332E32" w14:textId="77777777" w:rsidR="005D65A5" w:rsidRPr="00224E99" w:rsidRDefault="007478E0" w:rsidP="00801458">
            <w:pPr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7801C03" w14:textId="77777777" w:rsidR="005D65A5" w:rsidRPr="00224E99" w:rsidRDefault="007478E0" w:rsidP="00801458">
            <w:pPr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BF95D9" w14:textId="77777777" w:rsidR="005D65A5" w:rsidRPr="00224E99" w:rsidRDefault="007478E0" w:rsidP="00801458">
            <w:pPr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224E99" w14:paraId="09B6F31D" w14:textId="77777777" w:rsidTr="00801458">
        <w:tc>
          <w:tcPr>
            <w:tcW w:w="2336" w:type="dxa"/>
          </w:tcPr>
          <w:p w14:paraId="162FDF8A" w14:textId="77777777" w:rsidR="005D65A5" w:rsidRPr="00224E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9F7684" w14:textId="77777777" w:rsidR="005D65A5" w:rsidRPr="00224E99" w:rsidRDefault="007478E0" w:rsidP="00801458">
            <w:pPr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928770" w14:textId="77777777" w:rsidR="005D65A5" w:rsidRPr="00224E99" w:rsidRDefault="007478E0" w:rsidP="00801458">
            <w:pPr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62933A" w14:textId="77777777" w:rsidR="005D65A5" w:rsidRPr="00224E99" w:rsidRDefault="007478E0" w:rsidP="00801458">
            <w:pPr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323756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4E99" w14:paraId="681AC756" w14:textId="77777777" w:rsidTr="00224E99">
        <w:tc>
          <w:tcPr>
            <w:tcW w:w="562" w:type="dxa"/>
          </w:tcPr>
          <w:p w14:paraId="3874F331" w14:textId="77777777" w:rsidR="00224E99" w:rsidRDefault="00224E9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A272CB" w14:textId="77777777" w:rsidR="00224E99" w:rsidRDefault="00224E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24E99" w14:paraId="0267C479" w14:textId="77777777" w:rsidTr="00801458">
        <w:tc>
          <w:tcPr>
            <w:tcW w:w="2500" w:type="pct"/>
          </w:tcPr>
          <w:p w14:paraId="37F699C9" w14:textId="77777777" w:rsidR="00B8237E" w:rsidRPr="00224E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24E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4E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24E99" w14:paraId="3F240151" w14:textId="77777777" w:rsidTr="00801458">
        <w:tc>
          <w:tcPr>
            <w:tcW w:w="2500" w:type="pct"/>
          </w:tcPr>
          <w:p w14:paraId="61E91592" w14:textId="61A0874C" w:rsidR="00B8237E" w:rsidRPr="00224E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24E9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224E99" w:rsidRDefault="005C548A" w:rsidP="00801458">
            <w:pPr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224E99" w14:paraId="778E0064" w14:textId="77777777" w:rsidTr="00801458">
        <w:tc>
          <w:tcPr>
            <w:tcW w:w="2500" w:type="pct"/>
          </w:tcPr>
          <w:p w14:paraId="4A99473F" w14:textId="77777777" w:rsidR="00B8237E" w:rsidRPr="00224E99" w:rsidRDefault="00B8237E" w:rsidP="00801458">
            <w:pPr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54F2010" w14:textId="77777777" w:rsidR="00B8237E" w:rsidRPr="00224E99" w:rsidRDefault="005C548A" w:rsidP="00801458">
            <w:pPr>
              <w:rPr>
                <w:rFonts w:ascii="Times New Roman" w:hAnsi="Times New Roman" w:cs="Times New Roman"/>
              </w:rPr>
            </w:pPr>
            <w:r w:rsidRPr="00224E9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2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2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2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2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2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2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2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2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EFB4E" w14:textId="77777777" w:rsidR="00553CBC" w:rsidRDefault="00553CBC" w:rsidP="00315CA6">
      <w:pPr>
        <w:spacing w:after="0" w:line="240" w:lineRule="auto"/>
      </w:pPr>
      <w:r>
        <w:separator/>
      </w:r>
    </w:p>
  </w:endnote>
  <w:endnote w:type="continuationSeparator" w:id="0">
    <w:p w14:paraId="18FB18E2" w14:textId="77777777" w:rsidR="00553CBC" w:rsidRDefault="00553C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F0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BAE6A" w14:textId="77777777" w:rsidR="00553CBC" w:rsidRDefault="00553CBC" w:rsidP="00315CA6">
      <w:pPr>
        <w:spacing w:after="0" w:line="240" w:lineRule="auto"/>
      </w:pPr>
      <w:r>
        <w:separator/>
      </w:r>
    </w:p>
  </w:footnote>
  <w:footnote w:type="continuationSeparator" w:id="0">
    <w:p w14:paraId="4FDDAA5F" w14:textId="77777777" w:rsidR="00553CBC" w:rsidRDefault="00553C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4E99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3CBC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1F0B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5AB3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89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50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0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1208EA-C727-4C73-A6A7-CE22030E7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3915</Words>
  <Characters>22321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